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72" w:rsidRPr="002C782D" w:rsidRDefault="00B51C72" w:rsidP="00B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72" w:rsidRPr="00B51C72" w:rsidRDefault="00B51C72" w:rsidP="00B5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72">
        <w:rPr>
          <w:rFonts w:ascii="Times New Roman" w:hAnsi="Times New Roman" w:cs="Times New Roman"/>
          <w:b/>
          <w:sz w:val="28"/>
          <w:szCs w:val="28"/>
        </w:rPr>
        <w:t xml:space="preserve">Разъяснения по заполнению формы федерального статистического </w:t>
      </w:r>
    </w:p>
    <w:p w:rsidR="00B51C72" w:rsidRPr="00B51C72" w:rsidRDefault="00B51C72" w:rsidP="00B5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72">
        <w:rPr>
          <w:rFonts w:ascii="Times New Roman" w:hAnsi="Times New Roman" w:cs="Times New Roman"/>
          <w:b/>
          <w:sz w:val="28"/>
          <w:szCs w:val="28"/>
        </w:rPr>
        <w:t xml:space="preserve">наблюдения № 23-Н «Сведения о производстве, передаче, распределении </w:t>
      </w:r>
    </w:p>
    <w:p w:rsidR="00B51C72" w:rsidRPr="00B51C72" w:rsidRDefault="00B51C72" w:rsidP="00B51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72">
        <w:rPr>
          <w:rFonts w:ascii="Times New Roman" w:hAnsi="Times New Roman" w:cs="Times New Roman"/>
          <w:b/>
          <w:sz w:val="28"/>
          <w:szCs w:val="28"/>
        </w:rPr>
        <w:t>и потреблении электрической энергии» за 2023 год</w:t>
      </w:r>
    </w:p>
    <w:p w:rsidR="00B51C72" w:rsidRPr="002C782D" w:rsidRDefault="00B51C72" w:rsidP="00B51C72">
      <w:pPr>
        <w:spacing w:after="0" w:line="288" w:lineRule="auto"/>
      </w:pPr>
    </w:p>
    <w:p w:rsidR="00AB6B96" w:rsidRPr="003124E2" w:rsidRDefault="00AB6B96" w:rsidP="00B51C72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4E2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8A3EDD" w:rsidRPr="003124E2">
        <w:rPr>
          <w:rFonts w:ascii="Times New Roman" w:hAnsi="Times New Roman" w:cs="Times New Roman"/>
          <w:b/>
          <w:sz w:val="28"/>
          <w:szCs w:val="28"/>
        </w:rPr>
        <w:t>Р</w:t>
      </w:r>
      <w:r w:rsidRPr="003124E2">
        <w:rPr>
          <w:rFonts w:ascii="Times New Roman" w:hAnsi="Times New Roman" w:cs="Times New Roman"/>
          <w:b/>
          <w:sz w:val="28"/>
          <w:szCs w:val="28"/>
        </w:rPr>
        <w:t>уководитель!</w:t>
      </w:r>
    </w:p>
    <w:bookmarkEnd w:id="0"/>
    <w:p w:rsidR="00AB6B96" w:rsidRPr="00AC18D5" w:rsidRDefault="00AB6B96" w:rsidP="00B51C72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B6B96" w:rsidRDefault="00AB6B96" w:rsidP="00B51C72">
      <w:pPr>
        <w:pStyle w:val="70"/>
        <w:shd w:val="clear" w:color="auto" w:fill="auto"/>
        <w:spacing w:before="0" w:line="288" w:lineRule="auto"/>
        <w:ind w:firstLine="709"/>
        <w:rPr>
          <w:b w:val="0"/>
          <w:sz w:val="28"/>
          <w:szCs w:val="28"/>
        </w:rPr>
      </w:pPr>
      <w:r w:rsidRPr="000C4B86">
        <w:rPr>
          <w:rFonts w:eastAsia="Calibri"/>
          <w:b w:val="0"/>
          <w:bCs w:val="0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 (</w:t>
      </w:r>
      <w:r w:rsidRPr="000C4B86">
        <w:rPr>
          <w:rFonts w:eastAsia="Calibri"/>
          <w:b w:val="0"/>
          <w:sz w:val="28"/>
          <w:szCs w:val="28"/>
        </w:rPr>
        <w:t>Донецкстат)</w:t>
      </w:r>
      <w:r w:rsidRPr="000C4B86">
        <w:rPr>
          <w:rFonts w:eastAsia="Calibri"/>
          <w:b w:val="0"/>
          <w:bCs w:val="0"/>
          <w:sz w:val="28"/>
          <w:szCs w:val="28"/>
          <w:lang w:eastAsia="ru-RU"/>
        </w:rPr>
        <w:t xml:space="preserve">, </w:t>
      </w:r>
      <w:r w:rsidRPr="000C4B86">
        <w:rPr>
          <w:b w:val="0"/>
          <w:sz w:val="28"/>
          <w:szCs w:val="28"/>
        </w:rPr>
        <w:t>информирует о необходимости предоставления</w:t>
      </w:r>
      <w:r w:rsidRPr="000C4B86">
        <w:rPr>
          <w:rFonts w:eastAsia="Calibri"/>
          <w:b w:val="0"/>
          <w:sz w:val="28"/>
          <w:szCs w:val="28"/>
        </w:rPr>
        <w:t xml:space="preserve"> </w:t>
      </w:r>
      <w:r w:rsidRPr="000C4B86">
        <w:rPr>
          <w:rFonts w:eastAsia="Calibri"/>
          <w:b w:val="0"/>
          <w:sz w:val="28"/>
          <w:szCs w:val="28"/>
          <w:lang w:eastAsia="ru-RU"/>
        </w:rPr>
        <w:t>формы федерального статистического наблюдения</w:t>
      </w:r>
      <w:r w:rsidRPr="000C4B86">
        <w:rPr>
          <w:rFonts w:eastAsia="Calibri"/>
          <w:b w:val="0"/>
          <w:sz w:val="28"/>
          <w:szCs w:val="28"/>
        </w:rPr>
        <w:t xml:space="preserve"> </w:t>
      </w:r>
      <w:r w:rsidR="00F81B07" w:rsidRPr="00F81B07">
        <w:rPr>
          <w:b w:val="0"/>
          <w:sz w:val="28"/>
          <w:szCs w:val="28"/>
        </w:rPr>
        <w:t>№ 23-Н «Сведения о производстве, передаче, распределении и потреблении электрической энергии» за 2023</w:t>
      </w:r>
      <w:r w:rsidR="000B58E9">
        <w:rPr>
          <w:b w:val="0"/>
          <w:sz w:val="28"/>
          <w:szCs w:val="28"/>
        </w:rPr>
        <w:t xml:space="preserve"> </w:t>
      </w:r>
      <w:r w:rsidR="00F81B07" w:rsidRPr="00F81B07">
        <w:rPr>
          <w:b w:val="0"/>
          <w:sz w:val="28"/>
          <w:szCs w:val="28"/>
        </w:rPr>
        <w:t>г</w:t>
      </w:r>
      <w:r w:rsidR="000B58E9">
        <w:rPr>
          <w:b w:val="0"/>
          <w:sz w:val="28"/>
          <w:szCs w:val="28"/>
        </w:rPr>
        <w:t>од</w:t>
      </w:r>
      <w:r w:rsidR="00F81B07" w:rsidRPr="00F81B07">
        <w:rPr>
          <w:b w:val="0"/>
          <w:sz w:val="28"/>
          <w:szCs w:val="28"/>
        </w:rPr>
        <w:t>, утвержденную приказом Росстата от 31</w:t>
      </w:r>
      <w:r w:rsidR="00890580">
        <w:rPr>
          <w:b w:val="0"/>
          <w:sz w:val="28"/>
          <w:szCs w:val="28"/>
        </w:rPr>
        <w:t xml:space="preserve"> июля </w:t>
      </w:r>
      <w:r w:rsidR="00F81B07" w:rsidRPr="00F81B07">
        <w:rPr>
          <w:b w:val="0"/>
          <w:sz w:val="28"/>
          <w:szCs w:val="28"/>
        </w:rPr>
        <w:t>2023</w:t>
      </w:r>
      <w:r w:rsidR="00890580">
        <w:rPr>
          <w:b w:val="0"/>
          <w:sz w:val="28"/>
          <w:szCs w:val="28"/>
        </w:rPr>
        <w:t xml:space="preserve"> г.</w:t>
      </w:r>
      <w:r w:rsidR="00F81B07" w:rsidRPr="00F81B07">
        <w:rPr>
          <w:b w:val="0"/>
          <w:sz w:val="28"/>
          <w:szCs w:val="28"/>
        </w:rPr>
        <w:t xml:space="preserve"> № 365</w:t>
      </w:r>
      <w:r w:rsidR="008A3EDD">
        <w:rPr>
          <w:b w:val="0"/>
          <w:sz w:val="28"/>
          <w:szCs w:val="28"/>
        </w:rPr>
        <w:t xml:space="preserve">                     </w:t>
      </w:r>
      <w:r w:rsidRPr="00F81B07">
        <w:rPr>
          <w:b w:val="0"/>
          <w:sz w:val="28"/>
          <w:szCs w:val="28"/>
        </w:rPr>
        <w:t>(далее – Форма).</w:t>
      </w:r>
    </w:p>
    <w:p w:rsidR="0009766D" w:rsidRPr="00B51C72" w:rsidRDefault="0009766D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отчета – с 1-го рабочего дня января по 01 февраля                  2024 года.</w:t>
      </w:r>
    </w:p>
    <w:p w:rsidR="00B839A0" w:rsidRPr="0009766D" w:rsidRDefault="0009766D" w:rsidP="00B51C72">
      <w:pPr>
        <w:pStyle w:val="70"/>
        <w:shd w:val="clear" w:color="auto" w:fill="auto"/>
        <w:spacing w:before="0" w:line="288" w:lineRule="auto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по </w:t>
      </w:r>
      <w:r w:rsidR="00AB6B96" w:rsidRPr="0009766D">
        <w:rPr>
          <w:b w:val="0"/>
          <w:sz w:val="28"/>
          <w:szCs w:val="28"/>
        </w:rPr>
        <w:t>Форм</w:t>
      </w:r>
      <w:r>
        <w:rPr>
          <w:b w:val="0"/>
          <w:sz w:val="28"/>
          <w:szCs w:val="28"/>
        </w:rPr>
        <w:t>е</w:t>
      </w:r>
      <w:r w:rsidR="00AB6B96" w:rsidRPr="0009766D">
        <w:rPr>
          <w:b w:val="0"/>
          <w:sz w:val="28"/>
          <w:szCs w:val="28"/>
        </w:rPr>
        <w:t xml:space="preserve"> предоставляют</w:t>
      </w:r>
      <w:r w:rsidR="000100AB" w:rsidRPr="0009766D">
        <w:rPr>
          <w:b w:val="0"/>
          <w:sz w:val="28"/>
          <w:szCs w:val="28"/>
        </w:rPr>
        <w:t xml:space="preserve"> </w:t>
      </w:r>
      <w:r w:rsidR="00B839A0" w:rsidRPr="0009766D">
        <w:rPr>
          <w:b w:val="0"/>
          <w:sz w:val="28"/>
          <w:szCs w:val="28"/>
        </w:rPr>
        <w:t>юридические лица (кроме субъектов малого предпринимательства, потребительских кооперативов, общественных организаций, ассоциаций (союзов), товариществ собственников недвижимости, казачьих обществ, общины коренных малочисленных народов Российской Федерации, паевых инвестиционных фондов, фондов, религиозных органи</w:t>
      </w:r>
      <w:r w:rsidR="00736068" w:rsidRPr="0009766D">
        <w:rPr>
          <w:b w:val="0"/>
          <w:sz w:val="28"/>
          <w:szCs w:val="28"/>
        </w:rPr>
        <w:t xml:space="preserve">зации), всех форм собственности, </w:t>
      </w:r>
      <w:r w:rsidR="00B839A0" w:rsidRPr="0009766D">
        <w:rPr>
          <w:b w:val="0"/>
          <w:sz w:val="28"/>
          <w:szCs w:val="28"/>
        </w:rPr>
        <w:t>осуществляющие деятельность по добыче полезных ископаемых, обрабатывающим производствам, обеспечению электрической энергией, газом и паром;</w:t>
      </w:r>
      <w:r w:rsidR="00736068" w:rsidRPr="0009766D">
        <w:rPr>
          <w:b w:val="0"/>
          <w:sz w:val="28"/>
          <w:szCs w:val="28"/>
        </w:rPr>
        <w:t xml:space="preserve"> </w:t>
      </w:r>
      <w:r w:rsidR="00B839A0" w:rsidRPr="0009766D">
        <w:rPr>
          <w:b w:val="0"/>
          <w:sz w:val="28"/>
          <w:szCs w:val="28"/>
        </w:rPr>
        <w:t>кондиционированию воздуха; водоснабжению; водоотведению, организации сбора и утилизации отходов, деятельность по ликвидации загрязнений;</w:t>
      </w:r>
      <w:r w:rsidR="00736068" w:rsidRPr="0009766D">
        <w:rPr>
          <w:b w:val="0"/>
          <w:sz w:val="28"/>
          <w:szCs w:val="28"/>
        </w:rPr>
        <w:t xml:space="preserve"> а также </w:t>
      </w:r>
      <w:r w:rsidR="00B839A0" w:rsidRPr="0009766D">
        <w:rPr>
          <w:b w:val="0"/>
          <w:sz w:val="28"/>
          <w:szCs w:val="28"/>
        </w:rPr>
        <w:t xml:space="preserve">осуществляющие производство </w:t>
      </w:r>
      <w:r w:rsidR="00FB56FD" w:rsidRPr="0009766D">
        <w:rPr>
          <w:b w:val="0"/>
          <w:sz w:val="28"/>
          <w:szCs w:val="28"/>
        </w:rPr>
        <w:t xml:space="preserve">электроэнергии с использованием электростанций (электрогенераторных установок) </w:t>
      </w:r>
      <w:r w:rsidR="00B839A0" w:rsidRPr="0009766D">
        <w:rPr>
          <w:b w:val="0"/>
          <w:sz w:val="28"/>
          <w:szCs w:val="28"/>
        </w:rPr>
        <w:t>независимо от вида экономической</w:t>
      </w:r>
      <w:r w:rsidR="00736068" w:rsidRPr="0009766D">
        <w:rPr>
          <w:b w:val="0"/>
          <w:sz w:val="28"/>
          <w:szCs w:val="28"/>
        </w:rPr>
        <w:t xml:space="preserve"> деятельности.</w:t>
      </w:r>
    </w:p>
    <w:p w:rsidR="00B839A0" w:rsidRPr="00A7137D" w:rsidRDefault="00B839A0" w:rsidP="00B51C7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37D">
        <w:rPr>
          <w:rFonts w:ascii="Times New Roman" w:eastAsia="Times New Roman" w:hAnsi="Times New Roman" w:cs="Times New Roman"/>
          <w:bCs/>
          <w:sz w:val="28"/>
          <w:szCs w:val="28"/>
        </w:rPr>
        <w:t>При наличии у юридического лица обособленных подразделений</w:t>
      </w:r>
      <w:r w:rsidR="00705074">
        <w:rPr>
          <w:rFonts w:ascii="Times New Roman" w:eastAsia="Times New Roman" w:hAnsi="Times New Roman" w:cs="Times New Roman"/>
          <w:bCs/>
          <w:sz w:val="28"/>
          <w:szCs w:val="28"/>
        </w:rPr>
        <w:t xml:space="preserve"> Ф</w:t>
      </w:r>
      <w:r w:rsidRPr="00A7137D">
        <w:rPr>
          <w:rFonts w:ascii="Times New Roman" w:eastAsia="Times New Roman" w:hAnsi="Times New Roman" w:cs="Times New Roman"/>
          <w:bCs/>
          <w:sz w:val="28"/>
          <w:szCs w:val="28"/>
        </w:rPr>
        <w:t>орма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B839A0" w:rsidRPr="00A7137D" w:rsidRDefault="00B839A0" w:rsidP="00B51C7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137D">
        <w:rPr>
          <w:rFonts w:ascii="Times New Roman" w:eastAsia="Times New Roman" w:hAnsi="Times New Roman" w:cs="Times New Roman"/>
          <w:bCs/>
          <w:sz w:val="28"/>
          <w:szCs w:val="28"/>
        </w:rPr>
        <w:t>При этом возможно предоставление сводных данных за все обособленные подразделения юридического лица, осуществляющие деятельность на территории одного муниципального образования, при условии осуществления ими одного вида экономической деятельности и назначения руководителем юридического лица должностного лица, ответственного за отражение агрегированных данных по этим подразделениям.</w:t>
      </w:r>
    </w:p>
    <w:p w:rsidR="0009766D" w:rsidRPr="00A526C4" w:rsidRDefault="0009766D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Росстата от 11</w:t>
      </w:r>
      <w:r w:rsidR="00890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890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 «О внесении изменений в отдельные указания по заполнению форм федеральных статистических наблюдений»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ридическими лицами и/или физическими лицами, осуществляющими предпринимательскую деятельность без образования юридического лица (индивидуальные предприниматели), зарегистрированными на территори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форме предоставляются при наличии наблюдаемого явления. В случае отсутствия наблю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даемого явления предоставление Ф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ормы, не заполненной значениями показателей («пустой отчет»), указанными респондентами не требуется.</w:t>
      </w:r>
    </w:p>
    <w:p w:rsidR="0009766D" w:rsidRDefault="002C6AE2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отчетности</w:t>
      </w:r>
      <w:r w:rsidRPr="00B46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руководствоваться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Указаниями по заполнению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882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приведенными на бланке Ф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ормы. </w:t>
      </w:r>
      <w:r w:rsidR="0009766D" w:rsidRPr="00442695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по Форме заполняются на основании первичных документов организации, отражающих производство, потребление и распределение электроэнергии.</w:t>
      </w:r>
    </w:p>
    <w:p w:rsidR="002C6AE2" w:rsidRDefault="00267B94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состоит из четырех разделов.</w:t>
      </w:r>
    </w:p>
    <w:p w:rsidR="00267B94" w:rsidRDefault="00174149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67B94" w:rsidRPr="0075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Pr="0075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1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67B94"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сведения</w:t>
      </w:r>
      <w:r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указываются данные по каждой электростанции отдельно.</w:t>
      </w:r>
    </w:p>
    <w:p w:rsidR="00FD554F" w:rsidRPr="00FD554F" w:rsidRDefault="00FD554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4149" w:rsidRDefault="00174149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«Сведения о производстве, передаче, распределении и потреблении электрической энергии, мегаватт-час»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заполняют все категории организаций, осуществляющих производство, передачу, распределение и потребление электроэнергии.</w:t>
      </w:r>
      <w:r w:rsidR="003F4701" w:rsidRPr="003F4701">
        <w:t xml:space="preserve"> </w:t>
      </w:r>
      <w:r w:rsidR="003F4701" w:rsidRPr="003F4701">
        <w:rPr>
          <w:rFonts w:ascii="Times New Roman" w:eastAsia="Calibri" w:hAnsi="Times New Roman" w:cs="Times New Roman"/>
          <w:sz w:val="28"/>
          <w:szCs w:val="28"/>
          <w:lang w:eastAsia="ru-RU"/>
        </w:rPr>
        <w:t>Одна организация не может заполнять разные графы одновременно.</w:t>
      </w:r>
    </w:p>
    <w:p w:rsidR="00FD554F" w:rsidRPr="00FD554F" w:rsidRDefault="00FD554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67B94" w:rsidRDefault="00174149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</w:t>
      </w:r>
      <w:r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«Справка об отпуске (получении) электроэнергии за (из-за) пределы субъекта Российской Федерации»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заполняют все категории организаций, передающие (получающие) электроэнергию от организаций, расположенных 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br w:type="textWrapping" w:clear="all"/>
        <w:t xml:space="preserve">в других субъектах Российской Федерации. </w:t>
      </w:r>
    </w:p>
    <w:p w:rsidR="00FD554F" w:rsidRPr="00FD554F" w:rsidRDefault="00FD554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74149" w:rsidRDefault="00174149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E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«Список сетевых организаций и перепродавцов, мегаватт-час»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4149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заполняют все категории организаций, которые должны привести в нем данные о перепродавцах и сетевых организациях.</w:t>
      </w:r>
    </w:p>
    <w:p w:rsidR="00FD554F" w:rsidRPr="00FD554F" w:rsidRDefault="00FD554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E1C8F" w:rsidRDefault="008E1C8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Обращаем внимание, что д</w:t>
      </w:r>
      <w:r w:rsidRPr="00420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анные по показателям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отражать в предусмотренных Формой </w:t>
      </w:r>
      <w:r w:rsidRPr="000644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единицах измерения с 3-мя знаками после запятой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57987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F035C">
        <w:rPr>
          <w:rFonts w:ascii="Times New Roman" w:eastAsia="Calibri" w:hAnsi="Times New Roman" w:cs="Times New Roman"/>
          <w:sz w:val="28"/>
          <w:szCs w:val="28"/>
          <w:lang w:eastAsia="ru-RU"/>
        </w:rPr>
        <w:t>сключение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данных в графах 1–5 </w:t>
      </w:r>
      <w:r w:rsidRPr="008A3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Раздела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394B" w:rsidRDefault="0009766D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96445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</w:t>
      </w:r>
      <w:r w:rsidR="00996445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996445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заполнению</w:t>
      </w:r>
      <w:r w:rsid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6445" w:rsidRPr="00315882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</w:t>
      </w:r>
      <w:r w:rsid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приведены </w:t>
      </w:r>
      <w:r w:rsidR="00996445" w:rsidRPr="008A3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контроли по показателям</w:t>
      </w:r>
      <w:r w:rsid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должны выполняться при заполнении Формы. </w:t>
      </w:r>
    </w:p>
    <w:p w:rsidR="000672FB" w:rsidRDefault="00FB56FD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обращаем внимание на </w:t>
      </w:r>
      <w:r w:rsidRPr="00E33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обязательные взаимоувязки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другими статистическими формами. </w:t>
      </w:r>
    </w:p>
    <w:p w:rsidR="00FB56FD" w:rsidRDefault="008C6AE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Так, д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>анные графы 7 «</w:t>
      </w:r>
      <w:r w:rsidR="00F77009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Произведено электроэнергии за отчетный год» </w:t>
      </w:r>
      <w:r w:rsidR="00097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E33B8A" w:rsidRPr="000976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="0009766D" w:rsidRPr="000976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E33B8A" w:rsidRPr="000976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9766D" w:rsidRPr="000976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0976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7009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соответствовать 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данным </w:t>
      </w:r>
      <w:r w:rsidR="000672FB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672FB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</w:t>
      </w:r>
      <w:r w:rsidR="000D0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2FB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672FB" w:rsidRPr="00B9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1-натура-БМ «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производстве, отгрузке продукции 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(товаров, услуг) 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и балансе производственных мощностей»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, приведенным в Р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0672FB" w:rsidRPr="00B92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 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672FB" w:rsidRPr="00B92417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Производство и отгрузка по видам продукции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граф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е 1 «Произведено за отчетный год»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2FB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коду ОКПД2 35.11.10 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672FB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Электроэнергия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а также – </w:t>
      </w:r>
      <w:r w:rsidR="00F77009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данны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56FD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FB56FD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 № П-1 «Сведения о производстве и отгрузке товаров и услуг»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отражались</w:t>
      </w:r>
      <w:r w:rsid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>по строке 50 в разделе 5 «</w:t>
      </w:r>
      <w:r w:rsidR="00F77009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Производство и отгрузка по видам продукции»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56FD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коду ОКПД2 35.11.10 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77009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Электроэнергия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FB56FD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по </w:t>
      </w:r>
      <w:r w:rsidR="00FB56FD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>декабрь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  <w:r w:rsidR="000672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77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32B8E" w:rsidRDefault="00C32B8E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Бланк Формы размещен на официальном сайте Росстата (https://rosstat.gov.ru/),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наблюдения/Добыча полезных ископаемых, обрабатывающие производства, производство и распределение электроэнергии, газа и воды.</w:t>
      </w:r>
    </w:p>
    <w:p w:rsidR="00264EAE" w:rsidRDefault="00264EAE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Просим обязательно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ывать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бланке Формы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данные лица,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за составление отчета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контактного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телефона, E-mail, должность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ФИО)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51C72" w:rsidRPr="00FD554F" w:rsidRDefault="00B51C72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32B8E" w:rsidRPr="00FD554F" w:rsidRDefault="00C32B8E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54F">
        <w:rPr>
          <w:rFonts w:ascii="Times New Roman" w:eastAsia="Calibri" w:hAnsi="Times New Roman" w:cs="Times New Roman"/>
          <w:b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E33B8A" w:rsidRPr="00FD554F" w:rsidRDefault="00E33B8A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54F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FD554F">
        <w:rPr>
          <w:rFonts w:ascii="Times New Roman" w:eastAsia="Calibri" w:hAnsi="Times New Roman" w:cs="Times New Roman"/>
          <w:b/>
          <w:i/>
          <w:sz w:val="28"/>
          <w:szCs w:val="28"/>
        </w:rPr>
        <w:t>в электронном виде</w:t>
      </w:r>
      <w:r w:rsidRPr="00FD554F">
        <w:rPr>
          <w:rFonts w:ascii="Times New Roman" w:eastAsia="Calibri" w:hAnsi="Times New Roman" w:cs="Times New Roman"/>
          <w:b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FD554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FD554F">
        <w:rPr>
          <w:rFonts w:ascii="Times New Roman" w:eastAsia="Calibri" w:hAnsi="Times New Roman" w:cs="Times New Roman"/>
          <w:b/>
          <w:sz w:val="28"/>
          <w:szCs w:val="28"/>
        </w:rPr>
        <w:t>-сбора (</w:t>
      </w:r>
      <w:hyperlink r:id="rId7" w:history="1"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websbor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Pr="00FD554F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 xml:space="preserve"> rosstat.gov.ru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 xml:space="preserve"> /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online</w:t>
        </w:r>
        <w:r w:rsidRPr="00FD554F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FD554F">
        <w:rPr>
          <w:rFonts w:ascii="Times New Roman" w:eastAsia="Calibri" w:hAnsi="Times New Roman" w:cs="Times New Roman"/>
          <w:b/>
          <w:sz w:val="28"/>
          <w:szCs w:val="28"/>
        </w:rPr>
        <w:t>) Росстата;</w:t>
      </w:r>
    </w:p>
    <w:p w:rsidR="00C32B8E" w:rsidRDefault="00C32B8E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554F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FD554F">
        <w:rPr>
          <w:rFonts w:ascii="Times New Roman" w:eastAsia="Calibri" w:hAnsi="Times New Roman" w:cs="Times New Roman"/>
          <w:b/>
          <w:i/>
          <w:sz w:val="28"/>
          <w:szCs w:val="28"/>
        </w:rPr>
        <w:t>на бумажном носителе:</w:t>
      </w:r>
      <w:r w:rsidRPr="00FD554F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FD554F" w:rsidRPr="00FD554F" w:rsidRDefault="00FD554F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3B8A" w:rsidRDefault="00E33B8A" w:rsidP="00B51C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возникающим при заполнении Ф</w:t>
      </w:r>
      <w:r w:rsidRPr="00164310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обращаться в отдел статистики промышленности Донецкстата </w:t>
      </w:r>
      <w:r w:rsidRPr="00164310">
        <w:rPr>
          <w:rFonts w:ascii="Times New Roman" w:hAnsi="Times New Roman" w:cs="Times New Roman"/>
          <w:sz w:val="28"/>
          <w:szCs w:val="28"/>
        </w:rPr>
        <w:t>по тел</w:t>
      </w:r>
      <w:r w:rsidRPr="00AA2D5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AA2D56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>: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303-23-46,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AC18D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303-23-47,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303-23-48, +7(856) 303-23-49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адрес электронной почты отдела: </w:t>
      </w:r>
      <w:hyperlink r:id="rId8" w:history="1">
        <w:r w:rsidR="00264EAE" w:rsidRPr="00264EAE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05@80.rosstat.gov.ru</w:t>
        </w:r>
      </w:hyperlink>
      <w:r w:rsidRPr="00264E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EAE" w:rsidRDefault="00264EAE" w:rsidP="00FD554F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0">
        <w:rPr>
          <w:rFonts w:ascii="Times New Roman" w:hAnsi="Times New Roman" w:cs="Times New Roman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просим, в случае отсутствия наблюдаемого явления</w:t>
      </w:r>
      <w:r>
        <w:rPr>
          <w:rFonts w:ascii="Times New Roman" w:hAnsi="Times New Roman" w:cs="Times New Roman"/>
          <w:sz w:val="28"/>
          <w:szCs w:val="28"/>
        </w:rPr>
        <w:t>/хозяйственной деятельности, предоставить письмо в органы государственной статистики.</w:t>
      </w:r>
    </w:p>
    <w:p w:rsidR="00B51C72" w:rsidRPr="00B40140" w:rsidRDefault="00B51C72" w:rsidP="00FD554F">
      <w:pPr>
        <w:spacing w:after="12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sectPr w:rsidR="00B51C72" w:rsidRPr="00B40140" w:rsidSect="00AC18D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5A" w:rsidRDefault="00E2595A" w:rsidP="00103961">
      <w:pPr>
        <w:spacing w:after="0" w:line="240" w:lineRule="auto"/>
      </w:pPr>
      <w:r>
        <w:separator/>
      </w:r>
    </w:p>
  </w:endnote>
  <w:endnote w:type="continuationSeparator" w:id="0">
    <w:p w:rsidR="00E2595A" w:rsidRDefault="00E2595A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5A" w:rsidRDefault="00E2595A" w:rsidP="00103961">
      <w:pPr>
        <w:spacing w:after="0" w:line="240" w:lineRule="auto"/>
      </w:pPr>
      <w:r>
        <w:separator/>
      </w:r>
    </w:p>
  </w:footnote>
  <w:footnote w:type="continuationSeparator" w:id="0">
    <w:p w:rsidR="00E2595A" w:rsidRDefault="00E2595A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540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18D5" w:rsidRPr="00FF37FD" w:rsidRDefault="00AC18D5">
        <w:pPr>
          <w:pStyle w:val="a4"/>
          <w:jc w:val="center"/>
          <w:rPr>
            <w:rFonts w:ascii="Times New Roman" w:hAnsi="Times New Roman" w:cs="Times New Roman"/>
          </w:rPr>
        </w:pPr>
        <w:r w:rsidRPr="00FF37FD">
          <w:rPr>
            <w:rFonts w:ascii="Times New Roman" w:hAnsi="Times New Roman" w:cs="Times New Roman"/>
          </w:rPr>
          <w:fldChar w:fldCharType="begin"/>
        </w:r>
        <w:r w:rsidRPr="00FF37FD">
          <w:rPr>
            <w:rFonts w:ascii="Times New Roman" w:hAnsi="Times New Roman" w:cs="Times New Roman"/>
          </w:rPr>
          <w:instrText>PAGE   \* MERGEFORMAT</w:instrText>
        </w:r>
        <w:r w:rsidRPr="00FF37FD">
          <w:rPr>
            <w:rFonts w:ascii="Times New Roman" w:hAnsi="Times New Roman" w:cs="Times New Roman"/>
          </w:rPr>
          <w:fldChar w:fldCharType="separate"/>
        </w:r>
        <w:r w:rsidR="003124E2">
          <w:rPr>
            <w:rFonts w:ascii="Times New Roman" w:hAnsi="Times New Roman" w:cs="Times New Roman"/>
            <w:noProof/>
          </w:rPr>
          <w:t>2</w:t>
        </w:r>
        <w:r w:rsidRPr="00FF37FD">
          <w:rPr>
            <w:rFonts w:ascii="Times New Roman" w:hAnsi="Times New Roman" w:cs="Times New Roman"/>
          </w:rPr>
          <w:fldChar w:fldCharType="end"/>
        </w:r>
      </w:p>
    </w:sdtContent>
  </w:sdt>
  <w:p w:rsidR="00AC18D5" w:rsidRDefault="00AC1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6F"/>
    <w:rsid w:val="00007F53"/>
    <w:rsid w:val="000100AB"/>
    <w:rsid w:val="00015F8D"/>
    <w:rsid w:val="000250CA"/>
    <w:rsid w:val="000331C4"/>
    <w:rsid w:val="00046EF2"/>
    <w:rsid w:val="000527B8"/>
    <w:rsid w:val="000567B9"/>
    <w:rsid w:val="00057FA9"/>
    <w:rsid w:val="000644E7"/>
    <w:rsid w:val="000672FB"/>
    <w:rsid w:val="0009766D"/>
    <w:rsid w:val="000A2879"/>
    <w:rsid w:val="000B58E9"/>
    <w:rsid w:val="000B76F9"/>
    <w:rsid w:val="000C78AD"/>
    <w:rsid w:val="000D0BC3"/>
    <w:rsid w:val="000D191F"/>
    <w:rsid w:val="00103961"/>
    <w:rsid w:val="00145C8B"/>
    <w:rsid w:val="00151BF9"/>
    <w:rsid w:val="0016475D"/>
    <w:rsid w:val="0017017C"/>
    <w:rsid w:val="00174149"/>
    <w:rsid w:val="001767EC"/>
    <w:rsid w:val="00191BBD"/>
    <w:rsid w:val="00197A92"/>
    <w:rsid w:val="001A5A08"/>
    <w:rsid w:val="001B6130"/>
    <w:rsid w:val="001C2554"/>
    <w:rsid w:val="001E1090"/>
    <w:rsid w:val="001E3695"/>
    <w:rsid w:val="001F0CBD"/>
    <w:rsid w:val="001F367B"/>
    <w:rsid w:val="00222525"/>
    <w:rsid w:val="002230D6"/>
    <w:rsid w:val="00244B5A"/>
    <w:rsid w:val="00261265"/>
    <w:rsid w:val="00264EAE"/>
    <w:rsid w:val="00267B94"/>
    <w:rsid w:val="002813C4"/>
    <w:rsid w:val="00286A17"/>
    <w:rsid w:val="00290229"/>
    <w:rsid w:val="002B51F8"/>
    <w:rsid w:val="002C6AE2"/>
    <w:rsid w:val="002C7E6F"/>
    <w:rsid w:val="0030517D"/>
    <w:rsid w:val="00306ABF"/>
    <w:rsid w:val="00307D9B"/>
    <w:rsid w:val="003124E2"/>
    <w:rsid w:val="003502DF"/>
    <w:rsid w:val="00357987"/>
    <w:rsid w:val="003670A0"/>
    <w:rsid w:val="00374AC2"/>
    <w:rsid w:val="003C391D"/>
    <w:rsid w:val="003D2AAD"/>
    <w:rsid w:val="003F4701"/>
    <w:rsid w:val="00414566"/>
    <w:rsid w:val="00420496"/>
    <w:rsid w:val="00440853"/>
    <w:rsid w:val="00442695"/>
    <w:rsid w:val="0046292F"/>
    <w:rsid w:val="00467D0B"/>
    <w:rsid w:val="004A2490"/>
    <w:rsid w:val="004C0C50"/>
    <w:rsid w:val="004C79ED"/>
    <w:rsid w:val="00510403"/>
    <w:rsid w:val="005323E1"/>
    <w:rsid w:val="0053355A"/>
    <w:rsid w:val="005379BC"/>
    <w:rsid w:val="005572F6"/>
    <w:rsid w:val="00562FCA"/>
    <w:rsid w:val="00570EE3"/>
    <w:rsid w:val="005D2DCB"/>
    <w:rsid w:val="005D783C"/>
    <w:rsid w:val="00603061"/>
    <w:rsid w:val="00630436"/>
    <w:rsid w:val="00636A1E"/>
    <w:rsid w:val="00665B77"/>
    <w:rsid w:val="006A6BB2"/>
    <w:rsid w:val="006B7249"/>
    <w:rsid w:val="006E451C"/>
    <w:rsid w:val="006F521C"/>
    <w:rsid w:val="00705074"/>
    <w:rsid w:val="00726174"/>
    <w:rsid w:val="00736068"/>
    <w:rsid w:val="00750878"/>
    <w:rsid w:val="00750E35"/>
    <w:rsid w:val="0075385A"/>
    <w:rsid w:val="00754762"/>
    <w:rsid w:val="007610D8"/>
    <w:rsid w:val="007C500B"/>
    <w:rsid w:val="007D622F"/>
    <w:rsid w:val="007E0485"/>
    <w:rsid w:val="007F035C"/>
    <w:rsid w:val="007F6C02"/>
    <w:rsid w:val="0081505D"/>
    <w:rsid w:val="0082394B"/>
    <w:rsid w:val="00846FC8"/>
    <w:rsid w:val="0087250A"/>
    <w:rsid w:val="008739EB"/>
    <w:rsid w:val="00884810"/>
    <w:rsid w:val="00890580"/>
    <w:rsid w:val="008A3B52"/>
    <w:rsid w:val="008A3EDD"/>
    <w:rsid w:val="008A75E1"/>
    <w:rsid w:val="008C6AEF"/>
    <w:rsid w:val="008E1C8F"/>
    <w:rsid w:val="008E6F8A"/>
    <w:rsid w:val="008F1166"/>
    <w:rsid w:val="00902703"/>
    <w:rsid w:val="009428A3"/>
    <w:rsid w:val="00952F27"/>
    <w:rsid w:val="00962A28"/>
    <w:rsid w:val="00967B2B"/>
    <w:rsid w:val="00972767"/>
    <w:rsid w:val="0097720E"/>
    <w:rsid w:val="00983F9A"/>
    <w:rsid w:val="00996445"/>
    <w:rsid w:val="00997BE1"/>
    <w:rsid w:val="009B79D5"/>
    <w:rsid w:val="009E3C0F"/>
    <w:rsid w:val="00A7137D"/>
    <w:rsid w:val="00A71CE5"/>
    <w:rsid w:val="00A8369F"/>
    <w:rsid w:val="00A84C22"/>
    <w:rsid w:val="00A904E9"/>
    <w:rsid w:val="00A976FF"/>
    <w:rsid w:val="00AB6B96"/>
    <w:rsid w:val="00AC18D5"/>
    <w:rsid w:val="00AD020B"/>
    <w:rsid w:val="00AD72DA"/>
    <w:rsid w:val="00B05FC4"/>
    <w:rsid w:val="00B51C72"/>
    <w:rsid w:val="00B81CD0"/>
    <w:rsid w:val="00B839A0"/>
    <w:rsid w:val="00B92417"/>
    <w:rsid w:val="00BA6361"/>
    <w:rsid w:val="00BA7366"/>
    <w:rsid w:val="00BB2ADC"/>
    <w:rsid w:val="00BC0800"/>
    <w:rsid w:val="00BC0E00"/>
    <w:rsid w:val="00BD573D"/>
    <w:rsid w:val="00C2310F"/>
    <w:rsid w:val="00C32B8E"/>
    <w:rsid w:val="00C42DE8"/>
    <w:rsid w:val="00C57EF1"/>
    <w:rsid w:val="00C6056D"/>
    <w:rsid w:val="00C61F8E"/>
    <w:rsid w:val="00C9711C"/>
    <w:rsid w:val="00CC178B"/>
    <w:rsid w:val="00CE60CD"/>
    <w:rsid w:val="00D07FE8"/>
    <w:rsid w:val="00D11B85"/>
    <w:rsid w:val="00D31406"/>
    <w:rsid w:val="00D34C74"/>
    <w:rsid w:val="00D4355F"/>
    <w:rsid w:val="00D66F26"/>
    <w:rsid w:val="00DD21D9"/>
    <w:rsid w:val="00DE256F"/>
    <w:rsid w:val="00E1212E"/>
    <w:rsid w:val="00E2403D"/>
    <w:rsid w:val="00E2595A"/>
    <w:rsid w:val="00E33B8A"/>
    <w:rsid w:val="00E35D01"/>
    <w:rsid w:val="00E50F19"/>
    <w:rsid w:val="00E63071"/>
    <w:rsid w:val="00EB0F59"/>
    <w:rsid w:val="00EB684E"/>
    <w:rsid w:val="00EE6930"/>
    <w:rsid w:val="00EF69D3"/>
    <w:rsid w:val="00F11027"/>
    <w:rsid w:val="00F13EAB"/>
    <w:rsid w:val="00F26E9B"/>
    <w:rsid w:val="00F3193D"/>
    <w:rsid w:val="00F3234C"/>
    <w:rsid w:val="00F5382F"/>
    <w:rsid w:val="00F74D16"/>
    <w:rsid w:val="00F77009"/>
    <w:rsid w:val="00F81B07"/>
    <w:rsid w:val="00F87B70"/>
    <w:rsid w:val="00F97E2A"/>
    <w:rsid w:val="00FB56FD"/>
    <w:rsid w:val="00FC75B4"/>
    <w:rsid w:val="00FD554F"/>
    <w:rsid w:val="00FE0B27"/>
    <w:rsid w:val="00FE3A1B"/>
    <w:rsid w:val="00FE7E4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CCE9-303C-4FAF-B853-638DA33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2252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7E0485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0485"/>
    <w:pPr>
      <w:widowControl w:val="0"/>
      <w:shd w:val="clear" w:color="auto" w:fill="FFFFFF"/>
      <w:spacing w:before="540" w:after="540" w:line="274" w:lineRule="exact"/>
    </w:pPr>
    <w:rPr>
      <w:rFonts w:ascii="Cambria" w:eastAsia="Cambria" w:hAnsi="Cambria" w:cs="Cambria"/>
      <w:sz w:val="21"/>
      <w:szCs w:val="21"/>
    </w:rPr>
  </w:style>
  <w:style w:type="character" w:customStyle="1" w:styleId="7">
    <w:name w:val="Основной текст (7)_"/>
    <w:basedOn w:val="a0"/>
    <w:link w:val="70"/>
    <w:rsid w:val="007E04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0485"/>
    <w:pPr>
      <w:widowControl w:val="0"/>
      <w:shd w:val="clear" w:color="auto" w:fill="FFFFFF"/>
      <w:spacing w:before="300" w:after="0" w:line="25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бычный1"/>
    <w:rsid w:val="00374A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@80.rossta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4B7E-6189-4826-9A49-9D13CF96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И.И. Свистун</cp:lastModifiedBy>
  <cp:revision>18</cp:revision>
  <cp:lastPrinted>2024-01-16T11:56:00Z</cp:lastPrinted>
  <dcterms:created xsi:type="dcterms:W3CDTF">2024-01-14T08:38:00Z</dcterms:created>
  <dcterms:modified xsi:type="dcterms:W3CDTF">2024-01-17T12:36:00Z</dcterms:modified>
</cp:coreProperties>
</file>